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0"/>
        <w:gridCol w:w="299"/>
        <w:gridCol w:w="299"/>
        <w:gridCol w:w="297"/>
      </w:tblGrid>
      <w:tr w:rsidR="00657AEF" w:rsidRPr="00657AEF" w:rsidTr="00657AEF">
        <w:tc>
          <w:tcPr>
            <w:tcW w:w="4569" w:type="pct"/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657AEF" w:rsidRPr="00657AEF" w:rsidRDefault="00657AEF" w:rsidP="00657AEF">
            <w:pPr>
              <w:spacing w:line="240" w:lineRule="atLeast"/>
              <w:jc w:val="left"/>
              <w:rPr>
                <w:rFonts w:ascii="Segoe UI" w:eastAsia="Times New Roman" w:hAnsi="Segoe UI" w:cs="Segoe UI"/>
                <w:color w:val="666666"/>
                <w:sz w:val="33"/>
                <w:szCs w:val="33"/>
                <w:lang w:val="en-US"/>
              </w:rPr>
            </w:pPr>
            <w:r>
              <w:rPr>
                <w:rFonts w:ascii="Segoe UI" w:eastAsia="Times New Roman" w:hAnsi="Segoe UI" w:cs="Segoe UI"/>
                <w:color w:val="666666"/>
                <w:sz w:val="33"/>
                <w:szCs w:val="33"/>
                <w:lang w:val="en-US"/>
              </w:rPr>
              <w:t>Reports on election campaign financing and negotiation on establishing Government of Serbia in the context of fight against corruption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657AEF" w:rsidRPr="00657AEF" w:rsidRDefault="00657AEF" w:rsidP="00657AEF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657AEF" w:rsidRPr="00657AEF" w:rsidRDefault="00657AEF" w:rsidP="00657AEF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657AEF" w:rsidRPr="00657AEF" w:rsidRDefault="00657AEF" w:rsidP="00657AEF">
            <w:pPr>
              <w:spacing w:line="240" w:lineRule="atLeast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</w:p>
        </w:tc>
      </w:tr>
    </w:tbl>
    <w:p w:rsidR="00657AEF" w:rsidRPr="00657AEF" w:rsidRDefault="00657AEF" w:rsidP="00657AEF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5"/>
      </w:tblGrid>
      <w:tr w:rsidR="00657AEF" w:rsidRPr="00657AEF" w:rsidTr="00657AEF">
        <w:tc>
          <w:tcPr>
            <w:tcW w:w="0" w:type="auto"/>
            <w:shd w:val="clear" w:color="auto" w:fill="FFFFFF"/>
            <w:hideMark/>
          </w:tcPr>
          <w:p w:rsidR="00657AEF" w:rsidRPr="00657AEF" w:rsidRDefault="00657AEF" w:rsidP="00657AEF">
            <w:pPr>
              <w:spacing w:line="240" w:lineRule="atLeast"/>
              <w:jc w:val="left"/>
              <w:divId w:val="1659504704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</w:p>
          <w:p w:rsidR="00657AEF" w:rsidRPr="00657AEF" w:rsidRDefault="00657AEF" w:rsidP="00657AEF">
            <w:pPr>
              <w:spacing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</w:p>
          <w:p w:rsidR="00657AEF" w:rsidRPr="00657AEF" w:rsidRDefault="00864129" w:rsidP="00657AEF">
            <w:pPr>
              <w:spacing w:before="150" w:after="150" w:line="240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All election participants announced that future Parliament and Government will be active in fight against corruption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First precondition for this fight to be productive is to remove inappropriate influence of donors to political parties, </w:t>
            </w:r>
            <w:r w:rsidR="00D206C3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to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both, once that are in Government and those in opposition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To accomplish this precondition it is necessary to assure the public into transparency of all donors through financial reports for May elections delivered to Anticorruption Agency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that the money was spent according to Law and that all reported expenses were made during campaign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Anticorruption Agency on the basis of its authorities performs validity control of financial reports from parliamentary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presidential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provincial and local elections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However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,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Law has certain elements that should secure public control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above all through publishing of these reports at web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-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page of the Agency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. Transparen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cy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– S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e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rbia,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like in previous occasions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 w:rsidR="008A6DB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organized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during campaign monitoring of certain election campaign expenditures in Belgrade and in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2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0 cities around Serbia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The goal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 w:rsidR="00F76C87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among other things, was to compare data collected with those that will be presented in official parties’ reports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 w:rsidR="00F76C87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After the Agency in second half of June started publishing of received reports on campaign </w:t>
            </w:r>
            <w:r w:rsidR="008A6DB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we</w:t>
            </w:r>
            <w:r w:rsidR="00F76C87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are able to make first estimations on their quality and validity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 w:rsidR="00F76C87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Therefore we wil</w:t>
            </w:r>
            <w:r w:rsidR="008A6DB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l</w:t>
            </w:r>
            <w:r w:rsidR="00F76C87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present at press conference among other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: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 </w:t>
            </w:r>
          </w:p>
          <w:p w:rsidR="00657AEF" w:rsidRPr="00657AEF" w:rsidRDefault="00657AEF" w:rsidP="00657AEF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Sum</w:t>
            </w:r>
            <w:r w:rsidR="00DB6A49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m</w:t>
            </w: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ar</w:t>
            </w:r>
            <w:r w:rsidR="00DB6A49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y of presented incomes and expenditures of political parties at parliamentary and presidential elections</w:t>
            </w:r>
          </w:p>
          <w:p w:rsidR="00657AEF" w:rsidRPr="00657AEF" w:rsidRDefault="00DB6A49" w:rsidP="00657AEF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General estimation on quality of reports and their harmonization with Law and Rule Book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,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 in level in w</w:t>
            </w:r>
            <w:r w:rsidR="00033E6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h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ich </w:t>
            </w:r>
            <w:r w:rsidR="00033E6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such estimation can be made on the basis of available data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 w:rsidR="00033E6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including key problems that are common for all reports</w:t>
            </w:r>
          </w:p>
          <w:p w:rsidR="00657AEF" w:rsidRPr="00657AEF" w:rsidRDefault="00033E6F" w:rsidP="00657AEF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Observations on reports of certain coalitions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parties and citizens’ groups with the focus on parliamentary elections with comparison with the data from 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TS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monitoring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where it is possible</w:t>
            </w:r>
          </w:p>
          <w:p w:rsidR="00657AEF" w:rsidRPr="00657AEF" w:rsidRDefault="00033E6F" w:rsidP="00657AEF">
            <w:pPr>
              <w:numPr>
                <w:ilvl w:val="0"/>
                <w:numId w:val="1"/>
              </w:numPr>
              <w:spacing w:before="100" w:beforeAutospacing="1" w:after="100" w:afterAutospacing="1" w:line="285" w:lineRule="atLeast"/>
              <w:ind w:left="0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Considering of certain types of expenditures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– TV,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press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billboards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larger rallies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 </w:t>
            </w:r>
          </w:p>
          <w:p w:rsidR="00657AEF" w:rsidRPr="00657AEF" w:rsidRDefault="00033E6F" w:rsidP="00657AEF">
            <w:pPr>
              <w:spacing w:before="150" w:after="150" w:line="240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Besides control of reports on campaign financing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which is necessary for the citizens to trust into determination of political actors to fight corruption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it is very important that the program of new Government for fight against corruption to be much more detailed and comprehensive then it was during establishment of previous Governments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Therefore, 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Transparen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cy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– S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e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rbia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already delivered and presented its prepositions of measures to all parliamentary parties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We will refer to recent course of negotiations on Government establishing in the context of necessary measures for fight against corruption</w:t>
            </w:r>
            <w:r w:rsidR="00657AEF"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.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 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 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9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July</w:t>
            </w: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2012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 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Transparen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cy</w:t>
            </w: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 xml:space="preserve"> S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e</w:t>
            </w: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rbia</w:t>
            </w:r>
          </w:p>
          <w:p w:rsidR="00657AEF" w:rsidRPr="00657AEF" w:rsidRDefault="00657AEF" w:rsidP="00657AEF">
            <w:pPr>
              <w:spacing w:before="150" w:after="150" w:line="240" w:lineRule="atLeast"/>
              <w:jc w:val="lef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</w:pPr>
            <w:r w:rsidRPr="00657AEF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/>
              </w:rPr>
              <w:t> </w:t>
            </w:r>
          </w:p>
        </w:tc>
      </w:tr>
    </w:tbl>
    <w:p w:rsidR="00B64A94" w:rsidRDefault="00B64A94"/>
    <w:sectPr w:rsidR="00B64A94" w:rsidSect="00B64A9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C7"/>
    <w:multiLevelType w:val="multilevel"/>
    <w:tmpl w:val="59D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AEF"/>
    <w:rsid w:val="00033E6F"/>
    <w:rsid w:val="00352065"/>
    <w:rsid w:val="003B46D2"/>
    <w:rsid w:val="004532F3"/>
    <w:rsid w:val="00657AEF"/>
    <w:rsid w:val="00820E0F"/>
    <w:rsid w:val="00864129"/>
    <w:rsid w:val="008A6DBF"/>
    <w:rsid w:val="00B64A94"/>
    <w:rsid w:val="00D206C3"/>
    <w:rsid w:val="00D75664"/>
    <w:rsid w:val="00DB6A49"/>
    <w:rsid w:val="00F7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94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A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EF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x4</cp:lastModifiedBy>
  <cp:revision>5</cp:revision>
  <dcterms:created xsi:type="dcterms:W3CDTF">2012-07-11T12:34:00Z</dcterms:created>
  <dcterms:modified xsi:type="dcterms:W3CDTF">2012-07-11T13:06:00Z</dcterms:modified>
</cp:coreProperties>
</file>